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>, и.о.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мирового судьи судебного участка №3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 мкр., 30 дом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Косойкина Андрея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UserDefinedgrp-3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водительское удостоверение: </w:t>
      </w:r>
      <w:r>
        <w:rPr>
          <w:rStyle w:val="cat-ExternalSystemDefinedgrp-35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ExternalSystemDefinedgrp-34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 12.2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03.02.2025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Нефтеюганске, </w:t>
      </w:r>
      <w:r>
        <w:rPr>
          <w:rFonts w:ascii="Times New Roman" w:eastAsia="Times New Roman" w:hAnsi="Times New Roman" w:cs="Times New Roman"/>
          <w:sz w:val="26"/>
          <w:szCs w:val="26"/>
        </w:rPr>
        <w:t>СНТ Набережный, ул. Энергетиков, д. 2/1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движения, управлял автомобилем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без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установленного на предусмотренном для этого месте переднего государственного знака, которых находился в салоне транспортного средства по лобовым стеклом.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в совершении правонарушения признал в полном объеме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03.02.2025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мин., </w:t>
      </w:r>
      <w:r>
        <w:rPr>
          <w:rFonts w:ascii="Times New Roman" w:eastAsia="Times New Roman" w:hAnsi="Times New Roman" w:cs="Times New Roman"/>
          <w:sz w:val="26"/>
          <w:szCs w:val="26"/>
        </w:rPr>
        <w:t>в г. Нефтеюганске, СНТ Набережный, ул. Энергетиков, д. 2/1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автомобилем 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38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установленного на предусмотренном для этого месте переднего государственного знака, которых находился в салоне транспортного средства по лобовым стеклом.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данном протоколе имеется собственноручная подпись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 том, что он с данным протоколом ознакомлен, права ему разъяснены;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фотофиксацией нарушения, согласно которой на автомобиле </w:t>
      </w:r>
      <w:r>
        <w:rPr>
          <w:rStyle w:val="cat-UserDefinedgrp-38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передний </w:t>
      </w:r>
      <w:r>
        <w:rPr>
          <w:rStyle w:val="cat-CarNumbergrp-26rplc-41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находится под лобовым стеклом;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операции с ВУ;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ответственности, согласно которым в течении календарного года Косойкин А.С. неоднократно привлекался к административной ответственности по 12 главе КоАП РФ;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карточкой учета транспортного средства, из которой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транспортное средство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25rplc-4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принадлежит Косойкину А.С.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собранные доказательства оценены Мировым судьей по правилам статьи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являются относимыми, допустимыми, достаточными.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ч. 2 ст. 12.2 КоАП РФ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пп. 1.3, 1.6 Правил дорожного движения РФ, утвержденных постановлением Правительства Российской Федерации от 23.10.1993 № 1090 (далее - ПДД РФ) участники дорожного движения обязаны знать и соблюдать относящиеся к ним требования Правил, а лица, нарушившие ПДД, несут ответственность в соответствии с действующим законодательством.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 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</w:rPr>
        <w:t>еред выездом проверить и в пути обеспечить исправное техническое состояние транспортного средства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305770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допуску транспортных средств к эксплуатации и обязанностями должностных лиц по обеспечению безопасности дорожного движения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Основные положения по допуску транспортных средств к эксплуатации ПДД РФ, утв. постановлением Совета Министров – Правительства РФ от 23.10.1993 г. № 1090 </w:t>
      </w:r>
      <w:r>
        <w:rPr>
          <w:rFonts w:ascii="Times New Roman" w:eastAsia="Times New Roman" w:hAnsi="Times New Roman" w:cs="Times New Roman"/>
          <w:sz w:val="26"/>
          <w:szCs w:val="26"/>
        </w:rPr>
        <w:t>обязывают установку на предусмотренных для этого местах регистрационных знаков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правовой позиции, выраженной в абзаце 3 пункта 4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том числе без государственных регистрационных знаков (в том числе без одного из них).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транспортным средств</w:t>
      </w:r>
      <w:r>
        <w:rPr>
          <w:rFonts w:ascii="Times New Roman" w:eastAsia="Times New Roman" w:hAnsi="Times New Roman" w:cs="Times New Roman"/>
          <w:sz w:val="26"/>
          <w:szCs w:val="26"/>
        </w:rPr>
        <w:t>ом подтвержден материалами дела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фотофиксацией 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иными материалами).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составлен с соблюдением требований статьи 28.2 КоАП РФ, процессуальные права 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нарушены. Содержание названного протокола свидетельствует о том, что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присутствовал при составлении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>, объем прав, которыми он наделен в соответствии с названным кодексом и Конституцией Российской Федерации, до его сведения доведен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>, с содержанием протокола он ознакомлен, копия протокола ему вручена.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Замечаний, дополнений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содержанию протокола не высказывались.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квалифицирует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ст. 12.2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как у</w:t>
      </w:r>
      <w:r>
        <w:rPr>
          <w:rFonts w:ascii="Times New Roman" w:eastAsia="Times New Roman" w:hAnsi="Times New Roman" w:cs="Times New Roman"/>
          <w:sz w:val="26"/>
          <w:szCs w:val="26"/>
        </w:rPr>
        <w:t>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 А.С.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гл. 12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установленные обстоятельства,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29.9, 29.10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правонарушениях, мировой судья</w:t>
      </w:r>
    </w:p>
    <w:p>
      <w:pPr>
        <w:spacing w:before="0" w:after="0"/>
        <w:ind w:firstLine="72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ind w:firstLine="72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Косойкина Андрея Сергеевича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наказание в виде административного штрафа в размере 5000 (пяти тысяч)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уплате: Получатель УФК по ХМАО-Югре (УМВД России по ХМАО-Югре) </w:t>
      </w:r>
      <w:r>
        <w:rPr>
          <w:rStyle w:val="cat-OrganizationNamegrp-23rplc-6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Ханты-Мансийска БИК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71874000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8601010390 КПП 860101001, кор. сч. 40102810245370000007, номер счета получателя 03100643000000018700 в РКЦ Ханты-Мансийск//УФК по ХМАО-Югре г. Ханты-Мансийск, Вид платежа КБК 18811601123010001140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1881048625029</w:t>
      </w:r>
      <w:r>
        <w:rPr>
          <w:rFonts w:ascii="Times New Roman" w:eastAsia="Times New Roman" w:hAnsi="Times New Roman" w:cs="Times New Roman"/>
          <w:sz w:val="26"/>
          <w:szCs w:val="26"/>
        </w:rPr>
        <w:t>0001136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dst1009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7" w:anchor="dst425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426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8" w:anchor="dst998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9" w:anchor="dst42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8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0" w:anchor="dst428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1" w:anchor="dst10097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2" w:anchor="dst429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3" w:anchor="dst383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4" w:anchor="dst384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7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5" w:anchor="dst70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6" w:anchor="dst5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7" w:anchor="dst431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18" w:anchor="dst253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 w:line="288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6rplc-7">
    <w:name w:val="cat-ExternalSystemDefined grp-36 rplc-7"/>
    <w:basedOn w:val="DefaultParagraphFont"/>
  </w:style>
  <w:style w:type="character" w:customStyle="1" w:styleId="cat-PassportDatagrp-22rplc-8">
    <w:name w:val="cat-PassportData grp-22 rplc-8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ExternalSystemDefinedgrp-35rplc-11">
    <w:name w:val="cat-ExternalSystemDefined grp-35 rplc-11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4rplc-15">
    <w:name w:val="cat-ExternalSystemDefined grp-34 rplc-15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CarNumbergrp-25rplc-24">
    <w:name w:val="cat-CarNumber grp-25 rplc-24"/>
    <w:basedOn w:val="DefaultParagraphFont"/>
  </w:style>
  <w:style w:type="character" w:customStyle="1" w:styleId="cat-UserDefinedgrp-39rplc-28">
    <w:name w:val="cat-UserDefined grp-39 rplc-28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CarNumbergrp-25rplc-38">
    <w:name w:val="cat-CarNumber grp-25 rplc-3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CarNumbergrp-26rplc-41">
    <w:name w:val="cat-CarNumber grp-26 rplc-41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CarNumbergrp-25rplc-46">
    <w:name w:val="cat-CarNumber grp-25 rplc-46"/>
    <w:basedOn w:val="DefaultParagraphFont"/>
  </w:style>
  <w:style w:type="character" w:customStyle="1" w:styleId="cat-OrganizationNamegrp-23rplc-60">
    <w:name w:val="cat-OrganizationName grp-23 rplc-60"/>
    <w:basedOn w:val="DefaultParagraphFont"/>
  </w:style>
  <w:style w:type="character" w:customStyle="1" w:styleId="cat-UserDefinedgrp-40rplc-67">
    <w:name w:val="cat-UserDefined grp-40 rplc-67"/>
    <w:basedOn w:val="DefaultParagraphFont"/>
  </w:style>
  <w:style w:type="character" w:customStyle="1" w:styleId="cat-UserDefinedgrp-41rplc-70">
    <w:name w:val="cat-UserDefined grp-41 rplc-7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85ebd6cb5138b31da96b1488716a764c41d50496/" TargetMode="External" /><Relationship Id="rId11" Type="http://schemas.openxmlformats.org/officeDocument/2006/relationships/hyperlink" Target="https://www.consultant.ru/document/cons_doc_LAW_480520/2589a95e710dff5a9cba25e223c5d03303e8f45f/" TargetMode="External" /><Relationship Id="rId12" Type="http://schemas.openxmlformats.org/officeDocument/2006/relationships/hyperlink" Target="https://www.consultant.ru/document/cons_doc_LAW_480520/8e1db11085c966408d1ce0191aef369706a76759/" TargetMode="External" /><Relationship Id="rId13" Type="http://schemas.openxmlformats.org/officeDocument/2006/relationships/hyperlink" Target="https://www.consultant.ru/document/cons_doc_LAW_480520/3616f9cc443dbe11b6898b6fa10d5b67a307cb59/" TargetMode="External" /><Relationship Id="rId14" Type="http://schemas.openxmlformats.org/officeDocument/2006/relationships/hyperlink" Target="https://www.consultant.ru/document/cons_doc_LAW_480520/423d650543917f5abe5c2480d6fb3fca332f9d22/" TargetMode="External" /><Relationship Id="rId15" Type="http://schemas.openxmlformats.org/officeDocument/2006/relationships/hyperlink" Target="https://www.consultant.ru/document/cons_doc_LAW_480520/d52f28ae1e5997454d6d32a4336104e34ae0c87d/" TargetMode="External" /><Relationship Id="rId16" Type="http://schemas.openxmlformats.org/officeDocument/2006/relationships/hyperlink" Target="https://www.consultant.ru/document/cons_doc_LAW_480520/fe71cec502ee66689c92693910f30983ff4852aa/" TargetMode="External" /><Relationship Id="rId17" Type="http://schemas.openxmlformats.org/officeDocument/2006/relationships/hyperlink" Target="https://www.consultant.ru/document/cons_doc_LAW_480520/27b951a9ca374e6081930cfff85eabd581a523b1/" TargetMode="External" /><Relationship Id="rId18" Type="http://schemas.openxmlformats.org/officeDocument/2006/relationships/hyperlink" Target="https://www.consultant.ru/document/cons_doc_LAW_480520/9734adb3f4ad52d0fe265a97e85eab23d6dffe75/" TargetMode="Externa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80454&amp;dst=102445&amp;field=134&amp;date=05.08.2024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www.consultant.ru/document/cons_doc_LAW_480520/ddf872bbf0198a5ffe733c85ac8e65649ba9824d/" TargetMode="External" /><Relationship Id="rId7" Type="http://schemas.openxmlformats.org/officeDocument/2006/relationships/hyperlink" Target="https://www.consultant.ru/document/cons_doc_LAW_480520/0a1fc4a4a97c33938faec3dea050cb4107c7948b/" TargetMode="External" /><Relationship Id="rId8" Type="http://schemas.openxmlformats.org/officeDocument/2006/relationships/hyperlink" Target="https://www.consultant.ru/document/cons_doc_LAW_480520/86d85d3d522bb77876c524278464db710a481926/" TargetMode="External" /><Relationship Id="rId9" Type="http://schemas.openxmlformats.org/officeDocument/2006/relationships/hyperlink" Target="https://www.consultant.ru/document/cons_doc_LAW_480520/aa69183ecd988ed365aa7b0e5fffb687dc479b71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